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A9" w:rsidRDefault="00A21849">
      <w:r>
        <w:rPr>
          <w:noProof/>
        </w:rPr>
        <w:drawing>
          <wp:inline distT="0" distB="0" distL="0" distR="0" wp14:anchorId="48ABAD59" wp14:editId="7D26154E">
            <wp:extent cx="11906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#iSucceedwithC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610EBFA" wp14:editId="0239D713">
            <wp:extent cx="1343025" cy="99016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DE_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9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1B54A9" w:rsidRPr="00A13F99" w:rsidRDefault="001B54A9" w:rsidP="001B54A9">
      <w:pPr>
        <w:jc w:val="center"/>
        <w:rPr>
          <w:b/>
          <w:sz w:val="28"/>
          <w:szCs w:val="28"/>
        </w:rPr>
      </w:pPr>
      <w:r w:rsidRPr="00A13F99">
        <w:rPr>
          <w:b/>
          <w:sz w:val="28"/>
          <w:szCs w:val="28"/>
        </w:rPr>
        <w:t>KSDE CTE Update</w:t>
      </w:r>
    </w:p>
    <w:p w:rsidR="001B54A9" w:rsidRPr="00A13F99" w:rsidRDefault="001B54A9" w:rsidP="001B54A9">
      <w:pPr>
        <w:jc w:val="center"/>
        <w:rPr>
          <w:b/>
          <w:sz w:val="28"/>
          <w:szCs w:val="28"/>
        </w:rPr>
      </w:pPr>
      <w:r w:rsidRPr="00A13F99">
        <w:rPr>
          <w:b/>
          <w:sz w:val="28"/>
          <w:szCs w:val="28"/>
        </w:rPr>
        <w:t xml:space="preserve"> </w:t>
      </w:r>
    </w:p>
    <w:p w:rsidR="001B54A9" w:rsidRPr="00A13F99" w:rsidRDefault="000965D8" w:rsidP="001B5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Counselors Council</w:t>
      </w:r>
    </w:p>
    <w:p w:rsidR="001B54A9" w:rsidRPr="00A13F99" w:rsidRDefault="001B54A9" w:rsidP="001B54A9">
      <w:pPr>
        <w:jc w:val="center"/>
        <w:rPr>
          <w:b/>
          <w:sz w:val="28"/>
          <w:szCs w:val="28"/>
        </w:rPr>
      </w:pPr>
    </w:p>
    <w:p w:rsidR="001B54A9" w:rsidRPr="00A13F99" w:rsidRDefault="00F93C28" w:rsidP="001B5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2.12</w:t>
      </w:r>
      <w:r w:rsidR="001B54A9" w:rsidRPr="00A13F99">
        <w:rPr>
          <w:b/>
          <w:sz w:val="28"/>
          <w:szCs w:val="28"/>
        </w:rPr>
        <w:t>.15</w:t>
      </w:r>
    </w:p>
    <w:p w:rsidR="001B54A9" w:rsidRDefault="001B54A9" w:rsidP="001B54A9">
      <w:pPr>
        <w:jc w:val="center"/>
      </w:pPr>
    </w:p>
    <w:p w:rsidR="001B54A9" w:rsidRDefault="001B54A9" w:rsidP="001B54A9"/>
    <w:p w:rsidR="001B54A9" w:rsidRPr="00A9549C" w:rsidRDefault="001B54A9" w:rsidP="001B54A9">
      <w:pPr>
        <w:pStyle w:val="ListParagraph"/>
        <w:numPr>
          <w:ilvl w:val="0"/>
          <w:numId w:val="1"/>
        </w:numPr>
        <w:rPr>
          <w:b/>
        </w:rPr>
      </w:pPr>
      <w:r w:rsidRPr="00A9549C">
        <w:rPr>
          <w:b/>
        </w:rPr>
        <w:t>Professional Development</w:t>
      </w:r>
    </w:p>
    <w:p w:rsidR="001B54A9" w:rsidRDefault="001B54A9" w:rsidP="001B54A9">
      <w:pPr>
        <w:pStyle w:val="ListParagraph"/>
        <w:numPr>
          <w:ilvl w:val="1"/>
          <w:numId w:val="1"/>
        </w:numPr>
      </w:pPr>
      <w:r>
        <w:t>KSDE is attempting to consolidate our professional development events by focusing as an agency on summer Impact Institutes (July 2015) and the Annual KSDE Conference (October 2015).</w:t>
      </w:r>
    </w:p>
    <w:p w:rsidR="00A7332E" w:rsidRDefault="00A7332E" w:rsidP="00A7332E">
      <w:pPr>
        <w:pStyle w:val="ListParagraph"/>
        <w:ind w:left="1440"/>
      </w:pPr>
    </w:p>
    <w:p w:rsidR="00A7332E" w:rsidRPr="00A7332E" w:rsidRDefault="00A7332E" w:rsidP="00A7332E">
      <w:pPr>
        <w:pStyle w:val="ListParagraph"/>
        <w:numPr>
          <w:ilvl w:val="0"/>
          <w:numId w:val="1"/>
        </w:numPr>
        <w:rPr>
          <w:b/>
        </w:rPr>
      </w:pPr>
      <w:r w:rsidRPr="00A7332E">
        <w:rPr>
          <w:b/>
        </w:rPr>
        <w:t>Individual Plans of Study</w:t>
      </w:r>
    </w:p>
    <w:p w:rsidR="00A7332E" w:rsidRDefault="00A7332E" w:rsidP="00A7332E">
      <w:pPr>
        <w:pStyle w:val="ListParagraph"/>
        <w:numPr>
          <w:ilvl w:val="1"/>
          <w:numId w:val="1"/>
        </w:numPr>
      </w:pPr>
      <w:r>
        <w:t>Identifying best practices in both the product and the process involved in individual plans of study for all secondary students.</w:t>
      </w:r>
    </w:p>
    <w:p w:rsidR="00A7332E" w:rsidRDefault="00A7332E" w:rsidP="00A7332E">
      <w:pPr>
        <w:pStyle w:val="ListParagraph"/>
        <w:numPr>
          <w:ilvl w:val="1"/>
          <w:numId w:val="1"/>
        </w:numPr>
      </w:pPr>
      <w:r>
        <w:t>Crucial piece for all schools to help students be more college and career ready</w:t>
      </w:r>
    </w:p>
    <w:p w:rsidR="00A7332E" w:rsidRDefault="00A7332E" w:rsidP="00A7332E">
      <w:pPr>
        <w:pStyle w:val="ListParagraph"/>
        <w:numPr>
          <w:ilvl w:val="1"/>
          <w:numId w:val="1"/>
        </w:numPr>
      </w:pPr>
      <w:hyperlink r:id="rId8" w:history="1">
        <w:r>
          <w:rPr>
            <w:rStyle w:val="Hyperlink"/>
          </w:rPr>
          <w:t>Individual Plans of Study Webpage</w:t>
        </w:r>
      </w:hyperlink>
    </w:p>
    <w:p w:rsidR="004D5E2C" w:rsidRDefault="004D5E2C" w:rsidP="004D5E2C"/>
    <w:p w:rsidR="004D5E2C" w:rsidRPr="00A9549C" w:rsidRDefault="004D5E2C" w:rsidP="004D5E2C">
      <w:pPr>
        <w:pStyle w:val="ListParagraph"/>
        <w:numPr>
          <w:ilvl w:val="0"/>
          <w:numId w:val="1"/>
        </w:numPr>
        <w:rPr>
          <w:b/>
        </w:rPr>
      </w:pPr>
      <w:r w:rsidRPr="00A9549C">
        <w:rPr>
          <w:b/>
        </w:rPr>
        <w:t>State Funding for CTE</w:t>
      </w:r>
    </w:p>
    <w:p w:rsidR="003D3E1F" w:rsidRDefault="000965D8" w:rsidP="004D5E2C">
      <w:pPr>
        <w:pStyle w:val="ListParagraph"/>
        <w:numPr>
          <w:ilvl w:val="1"/>
          <w:numId w:val="1"/>
        </w:numPr>
      </w:pPr>
      <w:r>
        <w:t xml:space="preserve">It’s been proposed by the Governor to cut the Credential Incentive money (1.5 M) for </w:t>
      </w:r>
      <w:r w:rsidRPr="000965D8">
        <w:rPr>
          <w:b/>
          <w:i/>
          <w:u w:val="single"/>
        </w:rPr>
        <w:t>this school year</w:t>
      </w:r>
      <w:r>
        <w:t>.</w:t>
      </w:r>
    </w:p>
    <w:p w:rsidR="003D3E1F" w:rsidRDefault="003D3E1F" w:rsidP="004D5E2C">
      <w:pPr>
        <w:pStyle w:val="ListParagraph"/>
        <w:numPr>
          <w:ilvl w:val="1"/>
          <w:numId w:val="1"/>
        </w:numPr>
      </w:pPr>
      <w:r>
        <w:t>Proposed block grants to fund K-12 for the next two school years (eliminating all weightings)</w:t>
      </w:r>
    </w:p>
    <w:p w:rsidR="003D3E1F" w:rsidRDefault="003D3E1F" w:rsidP="004D5E2C">
      <w:pPr>
        <w:pStyle w:val="ListParagraph"/>
        <w:numPr>
          <w:ilvl w:val="1"/>
          <w:numId w:val="1"/>
        </w:numPr>
      </w:pPr>
      <w:r>
        <w:t xml:space="preserve">The tuition money for high school students in Senate Bill 155 is </w:t>
      </w:r>
      <w:r w:rsidR="000965D8">
        <w:t>still in the budget for this year and the next two school years (15-16 and 16-17).</w:t>
      </w:r>
    </w:p>
    <w:p w:rsidR="003D3E1F" w:rsidRPr="00A9549C" w:rsidRDefault="003D3E1F" w:rsidP="003D3E1F">
      <w:pPr>
        <w:rPr>
          <w:b/>
        </w:rPr>
      </w:pPr>
    </w:p>
    <w:p w:rsidR="003D3E1F" w:rsidRPr="00A9549C" w:rsidRDefault="003D3E1F" w:rsidP="003D3E1F">
      <w:pPr>
        <w:pStyle w:val="ListParagraph"/>
        <w:numPr>
          <w:ilvl w:val="0"/>
          <w:numId w:val="1"/>
        </w:numPr>
        <w:rPr>
          <w:b/>
        </w:rPr>
      </w:pPr>
      <w:r w:rsidRPr="00A9549C">
        <w:rPr>
          <w:b/>
        </w:rPr>
        <w:t xml:space="preserve"> </w:t>
      </w:r>
      <w:r w:rsidR="009D7A42" w:rsidRPr="00A9549C">
        <w:rPr>
          <w:b/>
        </w:rPr>
        <w:t>Developing Quality Pathway Goals</w:t>
      </w:r>
    </w:p>
    <w:p w:rsidR="009D7A42" w:rsidRDefault="009D7A42" w:rsidP="009D7A42">
      <w:pPr>
        <w:pStyle w:val="ListParagraph"/>
        <w:numPr>
          <w:ilvl w:val="1"/>
          <w:numId w:val="1"/>
        </w:numPr>
      </w:pPr>
      <w:r>
        <w:t>At least one goal must be submitted for each of the four Quality Pathway components: Physical environment, Partnerships, Instructional Strategies, Professional Development</w:t>
      </w:r>
    </w:p>
    <w:p w:rsidR="009D7A42" w:rsidRDefault="009D7A42" w:rsidP="009D7A42">
      <w:pPr>
        <w:pStyle w:val="ListParagraph"/>
        <w:numPr>
          <w:ilvl w:val="1"/>
          <w:numId w:val="1"/>
        </w:numPr>
      </w:pPr>
      <w:r>
        <w:t xml:space="preserve">Best Practice – Using the Quality Pathway Rubric as a needs assessment, </w:t>
      </w:r>
      <w:r w:rsidR="00B20B79">
        <w:t>have the Advisory Committee rate the current pathway and then develop 3-year goals for each component</w:t>
      </w:r>
    </w:p>
    <w:p w:rsidR="009D7A42" w:rsidRPr="00307801" w:rsidRDefault="009D7A42" w:rsidP="009D7A42">
      <w:pPr>
        <w:pStyle w:val="ListParagraph"/>
        <w:numPr>
          <w:ilvl w:val="1"/>
          <w:numId w:val="1"/>
        </w:numPr>
        <w:rPr>
          <w:b/>
        </w:rPr>
      </w:pPr>
      <w:r>
        <w:t xml:space="preserve">Defining question:  </w:t>
      </w:r>
      <w:r w:rsidRPr="00307801">
        <w:rPr>
          <w:b/>
        </w:rPr>
        <w:t>Does the goal drive improvement in that component over a 3 year period of time?</w:t>
      </w:r>
    </w:p>
    <w:p w:rsidR="009D7A42" w:rsidRDefault="009D7A42" w:rsidP="009D7A42">
      <w:pPr>
        <w:pStyle w:val="ListParagraph"/>
        <w:numPr>
          <w:ilvl w:val="1"/>
          <w:numId w:val="1"/>
        </w:numPr>
      </w:pPr>
      <w:r>
        <w:t xml:space="preserve">If a goal is disapproved, the consultants </w:t>
      </w:r>
      <w:r w:rsidR="00307801">
        <w:t xml:space="preserve">will provide feedback using </w:t>
      </w:r>
      <w:r>
        <w:t>SMART goal criteria</w:t>
      </w:r>
    </w:p>
    <w:p w:rsidR="00A13F99" w:rsidRDefault="00A13F99" w:rsidP="00307801"/>
    <w:p w:rsidR="00307801" w:rsidRPr="00A9549C" w:rsidRDefault="00307801" w:rsidP="00307801">
      <w:pPr>
        <w:pStyle w:val="ListParagraph"/>
        <w:numPr>
          <w:ilvl w:val="0"/>
          <w:numId w:val="1"/>
        </w:numPr>
        <w:rPr>
          <w:b/>
        </w:rPr>
      </w:pPr>
      <w:r w:rsidRPr="00A9549C">
        <w:rPr>
          <w:b/>
        </w:rPr>
        <w:t>Competency Profiles</w:t>
      </w:r>
    </w:p>
    <w:p w:rsidR="00A7332E" w:rsidRPr="00A7332E" w:rsidRDefault="0054310D" w:rsidP="00307801">
      <w:pPr>
        <w:pStyle w:val="ListParagraph"/>
        <w:numPr>
          <w:ilvl w:val="1"/>
          <w:numId w:val="1"/>
        </w:numPr>
      </w:pPr>
      <w:r>
        <w:rPr>
          <w:rFonts w:eastAsia="Times New Roman" w:cs="Segoe UI"/>
        </w:rPr>
        <w:t>C</w:t>
      </w:r>
      <w:r w:rsidRPr="00921136">
        <w:rPr>
          <w:rFonts w:eastAsia="Times New Roman" w:cs="Segoe UI"/>
        </w:rPr>
        <w:t>ompetency profiles</w:t>
      </w:r>
      <w:r>
        <w:rPr>
          <w:rFonts w:eastAsia="Times New Roman" w:cs="Segoe UI"/>
        </w:rPr>
        <w:t xml:space="preserve"> (Perkins requirement) must</w:t>
      </w:r>
      <w:r w:rsidRPr="00921136">
        <w:rPr>
          <w:rFonts w:eastAsia="Times New Roman" w:cs="Segoe UI"/>
        </w:rPr>
        <w:t xml:space="preserve"> be kept for each concentrator to document technical skills earned OR an end-of-pathway assessment is to be taken, both resulting in a level of comprehension/skill attainment indicating achievement. </w:t>
      </w:r>
    </w:p>
    <w:p w:rsidR="00307801" w:rsidRDefault="0054310D" w:rsidP="00A7332E">
      <w:pPr>
        <w:pStyle w:val="ListParagraph"/>
        <w:ind w:left="1440"/>
      </w:pPr>
      <w:r w:rsidRPr="00A9549C">
        <w:rPr>
          <w:rFonts w:eastAsia="Times New Roman" w:cs="Segoe UI"/>
          <w:b/>
          <w:i/>
          <w:u w:val="single"/>
        </w:rPr>
        <w:lastRenderedPageBreak/>
        <w:t>End of pathway assessments may be used in lieu of the competency profile</w:t>
      </w:r>
      <w:r w:rsidRPr="00A9549C">
        <w:rPr>
          <w:rFonts w:eastAsia="Times New Roman" w:cs="Segoe UI"/>
          <w:b/>
          <w:u w:val="single"/>
        </w:rPr>
        <w:t>.</w:t>
      </w:r>
      <w:r w:rsidRPr="00D46789">
        <w:rPr>
          <w:rFonts w:eastAsia="Times New Roman" w:cs="Segoe UI"/>
        </w:rPr>
        <w:t xml:space="preserve"> To know if you have an end of pathway assessment, note Section 4 of the CPPSA.  Only pathways with end of pathway assessment options will appear as choices to select in Section 4 of the pathway application.  If an end of pathway assessment is offered,</w:t>
      </w:r>
      <w:r>
        <w:rPr>
          <w:rFonts w:eastAsia="Times New Roman" w:cs="Segoe UI"/>
        </w:rPr>
        <w:t xml:space="preserve"> but not taken, the competency profile</w:t>
      </w:r>
      <w:r w:rsidRPr="00D46789">
        <w:rPr>
          <w:rFonts w:eastAsia="Times New Roman" w:cs="Segoe UI"/>
        </w:rPr>
        <w:t xml:space="preserve"> is your default option. These do not have to be hard copy as we have several schools </w:t>
      </w:r>
      <w:r w:rsidR="00B03395" w:rsidRPr="00D46789">
        <w:rPr>
          <w:rFonts w:eastAsia="Times New Roman" w:cs="Segoe UI"/>
        </w:rPr>
        <w:t>that</w:t>
      </w:r>
      <w:r w:rsidRPr="00D46789">
        <w:rPr>
          <w:rFonts w:eastAsia="Times New Roman" w:cs="Segoe UI"/>
        </w:rPr>
        <w:t xml:space="preserve"> have created online versions to use. Once taken</w:t>
      </w:r>
      <w:r w:rsidRPr="00921136">
        <w:rPr>
          <w:rFonts w:eastAsia="Times New Roman" w:cs="Segoe UI"/>
        </w:rPr>
        <w:t xml:space="preserve">, </w:t>
      </w:r>
      <w:r w:rsidRPr="00D46789">
        <w:rPr>
          <w:rFonts w:eastAsia="Times New Roman" w:cs="Segoe UI"/>
        </w:rPr>
        <w:t>they can also be sca</w:t>
      </w:r>
      <w:r w:rsidRPr="00921136">
        <w:rPr>
          <w:rFonts w:eastAsia="Times New Roman" w:cs="Segoe UI"/>
        </w:rPr>
        <w:t xml:space="preserve">nned and saved electronically. Also note, </w:t>
      </w:r>
      <w:r w:rsidRPr="00D46789">
        <w:rPr>
          <w:rFonts w:eastAsia="Times New Roman" w:cs="Segoe UI"/>
        </w:rPr>
        <w:t xml:space="preserve">only the students who are concentrators need their </w:t>
      </w:r>
      <w:r w:rsidRPr="00921136">
        <w:rPr>
          <w:rFonts w:eastAsia="Times New Roman" w:cs="Segoe UI"/>
        </w:rPr>
        <w:t xml:space="preserve">competency </w:t>
      </w:r>
      <w:r w:rsidRPr="00D46789">
        <w:rPr>
          <w:rFonts w:eastAsia="Times New Roman" w:cs="Segoe UI"/>
        </w:rPr>
        <w:t>profile rubrics re</w:t>
      </w:r>
      <w:r w:rsidRPr="00921136">
        <w:rPr>
          <w:rFonts w:eastAsia="Times New Roman" w:cs="Segoe UI"/>
        </w:rPr>
        <w:t>tained for a period of 5 years.</w:t>
      </w:r>
    </w:p>
    <w:p w:rsidR="003A5D27" w:rsidRDefault="003A5D27"/>
    <w:p w:rsidR="007D14DE" w:rsidRDefault="007D14DE" w:rsidP="007D14DE">
      <w:pPr>
        <w:pStyle w:val="ListParagraph"/>
        <w:numPr>
          <w:ilvl w:val="0"/>
          <w:numId w:val="1"/>
        </w:numPr>
      </w:pPr>
      <w:r w:rsidRPr="00A9549C">
        <w:rPr>
          <w:b/>
          <w:i/>
          <w:u w:val="single"/>
        </w:rPr>
        <w:t>Proposed</w:t>
      </w:r>
      <w:r w:rsidRPr="00A9549C">
        <w:rPr>
          <w:b/>
        </w:rPr>
        <w:t xml:space="preserve"> New CTE Student Categories</w:t>
      </w:r>
      <w:r>
        <w:t>:</w:t>
      </w:r>
    </w:p>
    <w:p w:rsidR="007D14DE" w:rsidRDefault="007D14DE" w:rsidP="007D14DE">
      <w:pPr>
        <w:pStyle w:val="ListParagraph"/>
        <w:numPr>
          <w:ilvl w:val="1"/>
          <w:numId w:val="1"/>
        </w:numPr>
      </w:pPr>
      <w:r>
        <w:t>Participant – 0.5 CTE credit</w:t>
      </w:r>
    </w:p>
    <w:p w:rsidR="007D14DE" w:rsidRDefault="007D14DE" w:rsidP="007D14DE">
      <w:pPr>
        <w:pStyle w:val="ListParagraph"/>
        <w:numPr>
          <w:ilvl w:val="1"/>
          <w:numId w:val="1"/>
        </w:numPr>
      </w:pPr>
      <w:r>
        <w:t>Concentrator – 2.0 CTE credits</w:t>
      </w:r>
      <w:r w:rsidR="006B397D">
        <w:t xml:space="preserve"> (must be a combination of at least 2 of the 3 course levels)</w:t>
      </w:r>
    </w:p>
    <w:p w:rsidR="007D14DE" w:rsidRPr="006B397D" w:rsidRDefault="007D14DE" w:rsidP="006B397D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color w:val="CF543F"/>
          <w:sz w:val="27"/>
          <w:szCs w:val="24"/>
        </w:rPr>
      </w:pPr>
      <w:r>
        <w:t>Completer – 3.0 CTE credits</w:t>
      </w:r>
      <w:r w:rsidR="006B397D" w:rsidRPr="006B397D">
        <w:rPr>
          <w:rFonts w:asciiTheme="minorHAnsi" w:eastAsiaTheme="minorEastAsia" w:hAnsi="Tw Cen MT" w:cstheme="minorBidi"/>
          <w:color w:val="000000" w:themeColor="text1"/>
          <w:kern w:val="24"/>
          <w:sz w:val="36"/>
          <w:szCs w:val="36"/>
        </w:rPr>
        <w:t xml:space="preserve"> </w:t>
      </w:r>
      <w:r w:rsidR="006B397D" w:rsidRPr="006B397D">
        <w:rPr>
          <w:rFonts w:asciiTheme="minorHAnsi" w:eastAsiaTheme="minorEastAsia" w:hAnsi="Tw Cen MT" w:cstheme="minorBidi"/>
          <w:color w:val="000000" w:themeColor="text1"/>
          <w:kern w:val="24"/>
        </w:rPr>
        <w:t>(2.0 of the 3.0 credits must be a combination of technical/application level)</w:t>
      </w:r>
    </w:p>
    <w:p w:rsidR="007D14DE" w:rsidRDefault="007D14DE" w:rsidP="007D14DE">
      <w:pPr>
        <w:pStyle w:val="ListParagraph"/>
        <w:numPr>
          <w:ilvl w:val="1"/>
          <w:numId w:val="1"/>
        </w:numPr>
      </w:pPr>
      <w:r>
        <w:t>CTE Scholar</w:t>
      </w:r>
    </w:p>
    <w:p w:rsidR="007D14DE" w:rsidRDefault="007D14DE" w:rsidP="007D14DE">
      <w:pPr>
        <w:pStyle w:val="ListParagraph"/>
        <w:numPr>
          <w:ilvl w:val="2"/>
          <w:numId w:val="1"/>
        </w:numPr>
      </w:pPr>
      <w:r>
        <w:t>Completer</w:t>
      </w:r>
    </w:p>
    <w:p w:rsidR="007E35C6" w:rsidRPr="006B397D" w:rsidRDefault="002D70CA" w:rsidP="006B397D">
      <w:pPr>
        <w:pStyle w:val="ListParagraph"/>
        <w:numPr>
          <w:ilvl w:val="2"/>
          <w:numId w:val="1"/>
        </w:numPr>
      </w:pPr>
      <w:r w:rsidRPr="006B397D">
        <w:rPr>
          <w:b/>
          <w:bCs/>
        </w:rPr>
        <w:t>Academic</w:t>
      </w:r>
      <w:r w:rsidRPr="006B397D">
        <w:t xml:space="preserve"> - Passing score on a state-approved CCR assessment</w:t>
      </w:r>
    </w:p>
    <w:p w:rsidR="007E35C6" w:rsidRPr="006B397D" w:rsidRDefault="002D70CA" w:rsidP="006B397D">
      <w:pPr>
        <w:pStyle w:val="ListParagraph"/>
        <w:numPr>
          <w:ilvl w:val="2"/>
          <w:numId w:val="1"/>
        </w:numPr>
      </w:pPr>
      <w:r w:rsidRPr="006B397D">
        <w:rPr>
          <w:b/>
          <w:bCs/>
        </w:rPr>
        <w:t>Technical</w:t>
      </w:r>
      <w:r w:rsidRPr="006B397D">
        <w:t xml:space="preserve"> - P</w:t>
      </w:r>
      <w:r w:rsidR="00A7332E">
        <w:t>assing state-approved Technical Skill Assessment (TSA) or Industry-Recognized Certification (IRC)</w:t>
      </w:r>
    </w:p>
    <w:p w:rsidR="007E35C6" w:rsidRPr="006B397D" w:rsidRDefault="006B397D" w:rsidP="006B397D">
      <w:pPr>
        <w:pStyle w:val="ListParagraph"/>
        <w:ind w:left="2160"/>
      </w:pPr>
      <w:r>
        <w:t xml:space="preserve">Examples - </w:t>
      </w:r>
      <w:proofErr w:type="spellStart"/>
      <w:r w:rsidR="0084101F">
        <w:t>cPass</w:t>
      </w:r>
      <w:proofErr w:type="spellEnd"/>
      <w:r w:rsidR="0084101F">
        <w:t xml:space="preserve"> end-of-pathway</w:t>
      </w:r>
      <w:r w:rsidR="002D70CA" w:rsidRPr="006B397D">
        <w:t xml:space="preserve"> assessments, verified IRC’s (recognized by industry at the state or national level, occupational-specific), CTSO state level competitive event achievement</w:t>
      </w:r>
    </w:p>
    <w:p w:rsidR="007E35C6" w:rsidRPr="006B397D" w:rsidRDefault="002D70CA" w:rsidP="006B397D">
      <w:pPr>
        <w:pStyle w:val="ListParagraph"/>
        <w:numPr>
          <w:ilvl w:val="2"/>
          <w:numId w:val="1"/>
        </w:numPr>
      </w:pPr>
      <w:r w:rsidRPr="006B397D">
        <w:rPr>
          <w:b/>
          <w:bCs/>
        </w:rPr>
        <w:t>Employable</w:t>
      </w:r>
      <w:r w:rsidRPr="006B397D">
        <w:t xml:space="preserve"> – </w:t>
      </w:r>
      <w:r w:rsidR="006B397D">
        <w:t xml:space="preserve">successful completion of a professional learning experience, </w:t>
      </w:r>
      <w:r w:rsidRPr="006B397D">
        <w:t>WorkKeys</w:t>
      </w:r>
      <w:r w:rsidR="006B397D">
        <w:t xml:space="preserve"> (silver level?)</w:t>
      </w:r>
      <w:r w:rsidRPr="006B397D">
        <w:t>, CTSO competitions, non-CTE related work experience, experiential learning</w:t>
      </w:r>
    </w:p>
    <w:p w:rsidR="007E35C6" w:rsidRPr="006B397D" w:rsidRDefault="002D70CA" w:rsidP="006B397D">
      <w:pPr>
        <w:pStyle w:val="ListParagraph"/>
        <w:numPr>
          <w:ilvl w:val="2"/>
          <w:numId w:val="1"/>
        </w:numPr>
      </w:pPr>
      <w:r w:rsidRPr="006B397D">
        <w:rPr>
          <w:b/>
          <w:bCs/>
        </w:rPr>
        <w:t xml:space="preserve">Leadership – </w:t>
      </w:r>
      <w:r w:rsidRPr="006B397D">
        <w:t>CTSO officer at local, district, state, or national le</w:t>
      </w:r>
      <w:r w:rsidR="0084101F">
        <w:t xml:space="preserve">vel, CTSO leadership awards, </w:t>
      </w:r>
      <w:bookmarkStart w:id="0" w:name="_GoBack"/>
      <w:bookmarkEnd w:id="0"/>
      <w:r w:rsidR="006B397D">
        <w:t>Student Council officer,</w:t>
      </w:r>
      <w:r w:rsidRPr="006B397D">
        <w:t xml:space="preserve"> Sports Team Captain</w:t>
      </w:r>
      <w:r w:rsidR="006B397D">
        <w:t>, etc.</w:t>
      </w:r>
    </w:p>
    <w:p w:rsidR="007D14DE" w:rsidRPr="006B397D" w:rsidRDefault="002D70CA" w:rsidP="006B397D">
      <w:pPr>
        <w:pStyle w:val="ListParagraph"/>
        <w:numPr>
          <w:ilvl w:val="2"/>
          <w:numId w:val="1"/>
        </w:numPr>
      </w:pPr>
      <w:r w:rsidRPr="006B397D">
        <w:rPr>
          <w:b/>
          <w:bCs/>
        </w:rPr>
        <w:t>Comm</w:t>
      </w:r>
      <w:r w:rsidR="006B397D">
        <w:rPr>
          <w:b/>
          <w:bCs/>
        </w:rPr>
        <w:t xml:space="preserve">unity Service – </w:t>
      </w:r>
      <w:r w:rsidR="006B397D" w:rsidRPr="006B397D">
        <w:rPr>
          <w:bCs/>
        </w:rPr>
        <w:t>(no. of minimum hours to meet this requirement)</w:t>
      </w:r>
    </w:p>
    <w:p w:rsidR="006B397D" w:rsidRDefault="006B397D" w:rsidP="006B397D">
      <w:r>
        <w:t xml:space="preserve"> </w:t>
      </w:r>
    </w:p>
    <w:p w:rsidR="006B397D" w:rsidRPr="00A9549C" w:rsidRDefault="006B397D" w:rsidP="006B397D">
      <w:pPr>
        <w:pStyle w:val="ListParagraph"/>
        <w:numPr>
          <w:ilvl w:val="0"/>
          <w:numId w:val="1"/>
        </w:numPr>
        <w:rPr>
          <w:b/>
        </w:rPr>
      </w:pPr>
      <w:r w:rsidRPr="00A9549C">
        <w:rPr>
          <w:b/>
        </w:rPr>
        <w:t>What’s New</w:t>
      </w:r>
    </w:p>
    <w:p w:rsidR="006B397D" w:rsidRDefault="006B397D" w:rsidP="006B397D">
      <w:pPr>
        <w:pStyle w:val="ListParagraph"/>
        <w:numPr>
          <w:ilvl w:val="1"/>
          <w:numId w:val="1"/>
        </w:numPr>
      </w:pPr>
      <w:r>
        <w:t>Energy Pathway available for SY 15-16</w:t>
      </w:r>
    </w:p>
    <w:p w:rsidR="006B397D" w:rsidRDefault="006B397D" w:rsidP="006B397D">
      <w:pPr>
        <w:pStyle w:val="ListParagraph"/>
        <w:numPr>
          <w:ilvl w:val="1"/>
          <w:numId w:val="1"/>
        </w:numPr>
      </w:pPr>
      <w:r>
        <w:t>District-level Pathway application ready for spring 2015 submission</w:t>
      </w:r>
    </w:p>
    <w:p w:rsidR="006B397D" w:rsidRDefault="006B397D" w:rsidP="006B397D">
      <w:pPr>
        <w:pStyle w:val="ListParagraph"/>
        <w:numPr>
          <w:ilvl w:val="1"/>
          <w:numId w:val="1"/>
        </w:numPr>
      </w:pPr>
      <w:r>
        <w:t>Career Pathways Coordinator (KBOR/KSDE joint position)</w:t>
      </w:r>
    </w:p>
    <w:p w:rsidR="00A21849" w:rsidRDefault="00A21849" w:rsidP="00A21849"/>
    <w:p w:rsidR="00A21849" w:rsidRDefault="00A21849" w:rsidP="00A21849"/>
    <w:p w:rsidR="00A21849" w:rsidRDefault="00A21849" w:rsidP="00A21849"/>
    <w:p w:rsidR="00A21849" w:rsidRPr="00A21849" w:rsidRDefault="00A21849" w:rsidP="00A21849">
      <w:r>
        <w:rPr>
          <w:noProof/>
          <w:sz w:val="44"/>
          <w:szCs w:val="44"/>
        </w:rPr>
        <w:drawing>
          <wp:inline distT="0" distB="0" distL="0" distR="0" wp14:anchorId="0F9E8C2F" wp14:editId="50748F16">
            <wp:extent cx="1181100" cy="1114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1849">
        <w:rPr>
          <w:sz w:val="44"/>
          <w:szCs w:val="44"/>
        </w:rPr>
        <w:t xml:space="preserve"> </w:t>
      </w:r>
      <w:r>
        <w:rPr>
          <w:sz w:val="44"/>
          <w:szCs w:val="44"/>
        </w:rPr>
        <w:t>KansasCTE@KSDE_CTE</w:t>
      </w:r>
    </w:p>
    <w:sectPr w:rsidR="00A21849" w:rsidRPr="00A21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EBF"/>
    <w:multiLevelType w:val="hybridMultilevel"/>
    <w:tmpl w:val="D00E42D8"/>
    <w:lvl w:ilvl="0" w:tplc="BC6E7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238E6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641AB"/>
    <w:multiLevelType w:val="hybridMultilevel"/>
    <w:tmpl w:val="D802715E"/>
    <w:lvl w:ilvl="0" w:tplc="84D200DA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40AA90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60FCC4">
      <w:start w:val="1202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EC8B2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B66E6E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023DD0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8AFEE0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D03A5A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7200A8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71E1D30"/>
    <w:multiLevelType w:val="hybridMultilevel"/>
    <w:tmpl w:val="FDB0D33C"/>
    <w:lvl w:ilvl="0" w:tplc="5FB88B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CC7D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8ABB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281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FCB2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872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EF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E29F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27"/>
    <w:rsid w:val="000965D8"/>
    <w:rsid w:val="001557A7"/>
    <w:rsid w:val="001B54A9"/>
    <w:rsid w:val="002D70CA"/>
    <w:rsid w:val="00307801"/>
    <w:rsid w:val="003A5D27"/>
    <w:rsid w:val="003D3E1F"/>
    <w:rsid w:val="00425096"/>
    <w:rsid w:val="004D5E2C"/>
    <w:rsid w:val="0054310D"/>
    <w:rsid w:val="006B397D"/>
    <w:rsid w:val="007D14DE"/>
    <w:rsid w:val="007E35C6"/>
    <w:rsid w:val="007F57A0"/>
    <w:rsid w:val="0084101F"/>
    <w:rsid w:val="009D7A42"/>
    <w:rsid w:val="00A13F99"/>
    <w:rsid w:val="00A21849"/>
    <w:rsid w:val="00A7332E"/>
    <w:rsid w:val="00A81E2F"/>
    <w:rsid w:val="00A9549C"/>
    <w:rsid w:val="00AD2DCA"/>
    <w:rsid w:val="00B03395"/>
    <w:rsid w:val="00B20B79"/>
    <w:rsid w:val="00CF4EBF"/>
    <w:rsid w:val="00F9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33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3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15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44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19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3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910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732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774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de.org/Agency/DivisionofLearningServices/CareerStandardsandAssessmentServices/CSASHome/IndividualPlansofStudy(IPS)-Student.asp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 Dept of Education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Scott</dc:creator>
  <cp:lastModifiedBy>Jay Scott</cp:lastModifiedBy>
  <cp:revision>2</cp:revision>
  <cp:lastPrinted>2015-02-09T03:14:00Z</cp:lastPrinted>
  <dcterms:created xsi:type="dcterms:W3CDTF">2015-02-11T22:48:00Z</dcterms:created>
  <dcterms:modified xsi:type="dcterms:W3CDTF">2015-02-11T22:48:00Z</dcterms:modified>
</cp:coreProperties>
</file>